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9AC6C" w14:textId="249C7A91" w:rsidR="002424A0" w:rsidRDefault="003D2757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Dynamicky rostoucí</w:t>
      </w:r>
      <w:r w:rsidR="002424A0">
        <w:rPr>
          <w:b/>
          <w:sz w:val="28"/>
          <w:szCs w:val="28"/>
        </w:rPr>
        <w:t xml:space="preserve"> firmy rozšiřují své výrobní i výzkumné prostory pomocí modulových staveb</w:t>
      </w:r>
    </w:p>
    <w:p w14:paraId="730115CC" w14:textId="673C8D5C" w:rsidR="003D2757" w:rsidRDefault="00730D23" w:rsidP="009529BA">
      <w:pPr>
        <w:spacing w:line="360" w:lineRule="auto"/>
        <w:jc w:val="both"/>
        <w:rPr>
          <w:b/>
        </w:rPr>
      </w:pPr>
      <w:bookmarkStart w:id="0" w:name="_GoBack"/>
      <w:r w:rsidRPr="00B234AA">
        <w:rPr>
          <w:b/>
        </w:rPr>
        <w:t xml:space="preserve">Praha, </w:t>
      </w:r>
      <w:r w:rsidR="00F75B9B">
        <w:rPr>
          <w:b/>
        </w:rPr>
        <w:t>2</w:t>
      </w:r>
      <w:r w:rsidR="00F75B9B">
        <w:rPr>
          <w:b/>
        </w:rPr>
        <w:t>3</w:t>
      </w:r>
      <w:r w:rsidR="00EF6433">
        <w:rPr>
          <w:b/>
        </w:rPr>
        <w:t xml:space="preserve">. </w:t>
      </w:r>
      <w:r w:rsidR="00D85FF6">
        <w:rPr>
          <w:b/>
        </w:rPr>
        <w:t>6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>
        <w:rPr>
          <w:b/>
        </w:rPr>
        <w:t>2016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C56481">
        <w:rPr>
          <w:b/>
        </w:rPr>
        <w:t xml:space="preserve"> </w:t>
      </w:r>
      <w:r w:rsidR="0022758D">
        <w:rPr>
          <w:b/>
        </w:rPr>
        <w:t xml:space="preserve">Konec minulého </w:t>
      </w:r>
      <w:r w:rsidR="002424A0">
        <w:rPr>
          <w:b/>
        </w:rPr>
        <w:t>a</w:t>
      </w:r>
      <w:r w:rsidR="00ED17AD">
        <w:rPr>
          <w:b/>
        </w:rPr>
        <w:t xml:space="preserve"> začátek letošního roku se nesl</w:t>
      </w:r>
      <w:r w:rsidR="0022758D">
        <w:rPr>
          <w:b/>
        </w:rPr>
        <w:t xml:space="preserve"> v duchu ekonomické</w:t>
      </w:r>
      <w:r w:rsidR="005B1358">
        <w:rPr>
          <w:b/>
        </w:rPr>
        <w:t>ho růstu</w:t>
      </w:r>
      <w:r w:rsidR="003D2757">
        <w:rPr>
          <w:b/>
        </w:rPr>
        <w:t xml:space="preserve"> Evropy</w:t>
      </w:r>
      <w:r w:rsidR="004F77CC">
        <w:rPr>
          <w:b/>
        </w:rPr>
        <w:t xml:space="preserve">. </w:t>
      </w:r>
      <w:r w:rsidR="000B27BC">
        <w:rPr>
          <w:b/>
        </w:rPr>
        <w:t xml:space="preserve">Česko </w:t>
      </w:r>
      <w:r w:rsidR="005B1358">
        <w:rPr>
          <w:b/>
        </w:rPr>
        <w:t xml:space="preserve">je </w:t>
      </w:r>
      <w:r w:rsidR="000B27BC">
        <w:rPr>
          <w:b/>
        </w:rPr>
        <w:t xml:space="preserve">dokonce </w:t>
      </w:r>
      <w:r w:rsidR="005B1358">
        <w:rPr>
          <w:b/>
        </w:rPr>
        <w:t xml:space="preserve">v rámci eurozóny s tempem </w:t>
      </w:r>
      <w:bookmarkEnd w:id="0"/>
      <w:r w:rsidR="005B1358">
        <w:rPr>
          <w:b/>
        </w:rPr>
        <w:t>růstu HDP 3,1 % v 1. čtvrtletí 2016 vysoce nadprůměrné</w:t>
      </w:r>
      <w:r w:rsidR="000B27BC">
        <w:rPr>
          <w:b/>
        </w:rPr>
        <w:t>, čemuž napomáhá i Česká národní banka svou politikou slabé koruny</w:t>
      </w:r>
      <w:r w:rsidR="003D2757">
        <w:rPr>
          <w:b/>
        </w:rPr>
        <w:t>, d</w:t>
      </w:r>
      <w:r w:rsidR="005B1358">
        <w:rPr>
          <w:b/>
        </w:rPr>
        <w:t>íky ní</w:t>
      </w:r>
      <w:r w:rsidR="003D2757">
        <w:rPr>
          <w:b/>
        </w:rPr>
        <w:t>ž</w:t>
      </w:r>
      <w:r w:rsidR="000B27BC">
        <w:rPr>
          <w:b/>
        </w:rPr>
        <w:t xml:space="preserve"> jsou domácí ex</w:t>
      </w:r>
      <w:r w:rsidR="00B72B6B">
        <w:rPr>
          <w:b/>
        </w:rPr>
        <w:t>portéři konkurenceschopnější na </w:t>
      </w:r>
      <w:r w:rsidR="000B27BC">
        <w:rPr>
          <w:b/>
        </w:rPr>
        <w:t xml:space="preserve">zahraničních trzích. </w:t>
      </w:r>
      <w:r w:rsidR="003D2757">
        <w:rPr>
          <w:b/>
        </w:rPr>
        <w:t xml:space="preserve">Tuzemskému vývozu nahrává i růst Německa – stoupají zde zejména prodeje aut, stejně jako v celé eurozóně. </w:t>
      </w:r>
      <w:r w:rsidR="00493C20">
        <w:rPr>
          <w:b/>
        </w:rPr>
        <w:t xml:space="preserve">V reakci na navyšování poptávky </w:t>
      </w:r>
      <w:r w:rsidR="00953E31">
        <w:rPr>
          <w:b/>
        </w:rPr>
        <w:t>řada</w:t>
      </w:r>
      <w:r w:rsidR="004E5617">
        <w:rPr>
          <w:b/>
        </w:rPr>
        <w:t xml:space="preserve"> firem</w:t>
      </w:r>
      <w:r w:rsidR="00E3210E">
        <w:rPr>
          <w:b/>
        </w:rPr>
        <w:t xml:space="preserve"> </w:t>
      </w:r>
      <w:r w:rsidR="003D2757">
        <w:rPr>
          <w:b/>
        </w:rPr>
        <w:t>rozšiřuje své stávající výrobní a výzkumné</w:t>
      </w:r>
      <w:r w:rsidR="00493C20">
        <w:rPr>
          <w:b/>
        </w:rPr>
        <w:t xml:space="preserve"> prostor</w:t>
      </w:r>
      <w:r w:rsidR="003D2757">
        <w:rPr>
          <w:b/>
        </w:rPr>
        <w:t>y</w:t>
      </w:r>
      <w:r w:rsidR="00871C0F">
        <w:rPr>
          <w:b/>
        </w:rPr>
        <w:t xml:space="preserve"> </w:t>
      </w:r>
      <w:r w:rsidR="006D50DE">
        <w:rPr>
          <w:b/>
        </w:rPr>
        <w:t>prostřednictvím modulových staveb</w:t>
      </w:r>
      <w:r w:rsidR="00493C20">
        <w:rPr>
          <w:b/>
        </w:rPr>
        <w:t xml:space="preserve">. </w:t>
      </w:r>
      <w:r w:rsidR="003D2757">
        <w:rPr>
          <w:b/>
        </w:rPr>
        <w:t xml:space="preserve">Patří k nim právě </w:t>
      </w:r>
      <w:r w:rsidR="003D2757" w:rsidRPr="00BF6058">
        <w:rPr>
          <w:b/>
        </w:rPr>
        <w:t xml:space="preserve">výrobci automobilových součástek </w:t>
      </w:r>
      <w:r w:rsidR="003D2757">
        <w:rPr>
          <w:b/>
        </w:rPr>
        <w:t xml:space="preserve">Robert Bosch v Českých Budějovicích a </w:t>
      </w:r>
      <w:proofErr w:type="spellStart"/>
      <w:r w:rsidR="003D2757">
        <w:rPr>
          <w:b/>
        </w:rPr>
        <w:t>Plastic</w:t>
      </w:r>
      <w:proofErr w:type="spellEnd"/>
      <w:r w:rsidR="003D2757">
        <w:rPr>
          <w:b/>
        </w:rPr>
        <w:t xml:space="preserve"> Omnium na Slovensku.  Nové objekty pro ně postavila společnost Touax, přední výrobce modulových staveb, který za pomoci modulů rozšířil i kapacity svého vlastního výrobního závodu v Supíkovicích.</w:t>
      </w:r>
    </w:p>
    <w:p w14:paraId="3EEE44A5" w14:textId="77777777" w:rsidR="009529BA" w:rsidRDefault="009529BA" w:rsidP="009529BA">
      <w:pPr>
        <w:spacing w:line="360" w:lineRule="auto"/>
        <w:jc w:val="both"/>
      </w:pPr>
    </w:p>
    <w:p w14:paraId="4B56F23E" w14:textId="2902AC03" w:rsidR="006567F5" w:rsidRPr="009529BA" w:rsidRDefault="002133F0" w:rsidP="007D5251">
      <w:pPr>
        <w:spacing w:line="360" w:lineRule="auto"/>
        <w:jc w:val="both"/>
      </w:pPr>
      <w:r w:rsidRPr="002133F0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 wp14:anchorId="2D52A3F0" wp14:editId="60551575">
            <wp:simplePos x="0" y="0"/>
            <wp:positionH relativeFrom="margin">
              <wp:align>right</wp:align>
            </wp:positionH>
            <wp:positionV relativeFrom="paragraph">
              <wp:posOffset>1051560</wp:posOffset>
            </wp:positionV>
            <wp:extent cx="2468245" cy="1851025"/>
            <wp:effectExtent l="0" t="0" r="8255" b="0"/>
            <wp:wrapSquare wrapText="bothSides"/>
            <wp:docPr id="7" name="Obrázek 7" descr="I:\PR-Reality\Touax\Podklady\TZ Prumysl_ moduly pro výrobní firmy a výzkumné účely\2016 Zkusebna Robert Bosch - Ceske Budejovice\Foto\Robert-Bosch-zkušebna-fot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TZ Prumysl_ moduly pro výrobní firmy a výzkumné účely\2016 Zkusebna Robert Bosch - Ceske Budejovice\Foto\Robert-Bosch-zkušebna-foto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F5A">
        <w:t>Rozšíření</w:t>
      </w:r>
      <w:r w:rsidR="00871C0F">
        <w:t xml:space="preserve"> </w:t>
      </w:r>
      <w:r w:rsidR="0033350C">
        <w:t xml:space="preserve">kancelářských nebo výrobních </w:t>
      </w:r>
      <w:r w:rsidR="00871C0F">
        <w:t xml:space="preserve">prostor pomocí </w:t>
      </w:r>
      <w:r w:rsidR="00382F5A">
        <w:t>modulových</w:t>
      </w:r>
      <w:r w:rsidR="009529BA">
        <w:t xml:space="preserve"> staveb je pro dynamicky rostoucí firmy velmi výhodné především díky flexibilitě</w:t>
      </w:r>
      <w:r w:rsidR="00382F5A">
        <w:t>, rychlost</w:t>
      </w:r>
      <w:r w:rsidR="009529BA">
        <w:t>i</w:t>
      </w:r>
      <w:r w:rsidR="00382F5A">
        <w:t xml:space="preserve"> realizace </w:t>
      </w:r>
      <w:r w:rsidR="000A4786">
        <w:t xml:space="preserve">a </w:t>
      </w:r>
      <w:r w:rsidR="009529BA">
        <w:t xml:space="preserve">ekonomičnosti modulů. </w:t>
      </w:r>
      <w:r w:rsidR="00D03AE4">
        <w:t>Jednou z</w:t>
      </w:r>
      <w:r w:rsidR="009529BA">
        <w:t xml:space="preserve">e společností, která </w:t>
      </w:r>
      <w:r w:rsidR="0033350C">
        <w:t>dlouhodobě sv</w:t>
      </w:r>
      <w:r w:rsidR="00377493">
        <w:t>ou</w:t>
      </w:r>
      <w:r w:rsidR="0033350C">
        <w:t xml:space="preserve"> potřeb</w:t>
      </w:r>
      <w:r w:rsidR="00377493">
        <w:t>u</w:t>
      </w:r>
      <w:r w:rsidR="0033350C">
        <w:t xml:space="preserve"> navyšovat prostory </w:t>
      </w:r>
      <w:r w:rsidR="009529BA">
        <w:t xml:space="preserve">řeší prostřednictvím této technologie, je Robert Bosch, s.r.o., </w:t>
      </w:r>
      <w:r w:rsidR="004F77CC">
        <w:t>dceřiná firma</w:t>
      </w:r>
      <w:r w:rsidR="009529BA">
        <w:t xml:space="preserve"> </w:t>
      </w:r>
      <w:r w:rsidR="0033350C">
        <w:t>světoznámé</w:t>
      </w:r>
      <w:r w:rsidR="009529BA">
        <w:t xml:space="preserve"> společnosti Bosch.</w:t>
      </w:r>
      <w:r w:rsidR="004F77CC">
        <w:t xml:space="preserve"> </w:t>
      </w:r>
      <w:r w:rsidR="009529BA">
        <w:t>Z</w:t>
      </w:r>
      <w:r w:rsidR="004F77CC">
        <w:t xml:space="preserve">kušebna </w:t>
      </w:r>
      <w:r w:rsidR="009529BA">
        <w:t>jejího výrobního závodu v Českých Budějovicích</w:t>
      </w:r>
      <w:r w:rsidR="00B56FDF">
        <w:t>, ve které se testují materiály pro automobilové součástky,</w:t>
      </w:r>
      <w:r w:rsidR="009529BA">
        <w:t xml:space="preserve"> </w:t>
      </w:r>
      <w:r w:rsidR="0033350C">
        <w:t xml:space="preserve">je typickou ukázkou účelného využití výhod modulové stavby v praxi. </w:t>
      </w:r>
      <w:r w:rsidR="00B56FDF">
        <w:t xml:space="preserve">Původní </w:t>
      </w:r>
      <w:r w:rsidR="0033350C">
        <w:t xml:space="preserve">modulový objekt byl během několika let </w:t>
      </w:r>
      <w:r w:rsidR="00B56FDF">
        <w:t xml:space="preserve">v návaznosti na úspěšný rozvoj výroby již dvakrát rozšiřován. Naposledy letos v březnu, kdy </w:t>
      </w:r>
      <w:r w:rsidR="004F77CC">
        <w:t>společnost</w:t>
      </w:r>
      <w:r w:rsidR="004D63A0">
        <w:t xml:space="preserve"> Touax</w:t>
      </w:r>
      <w:r w:rsidR="00A811EA">
        <w:t xml:space="preserve"> přistavěla k dosavadním 36 </w:t>
      </w:r>
      <w:r w:rsidR="00B56FDF">
        <w:t xml:space="preserve">modulům </w:t>
      </w:r>
      <w:r w:rsidR="00ED17AD">
        <w:t>dalších 12</w:t>
      </w:r>
      <w:r w:rsidR="00FB7D0E">
        <w:t xml:space="preserve"> </w:t>
      </w:r>
      <w:r w:rsidR="00B56FDF">
        <w:t xml:space="preserve">a plocha objektu </w:t>
      </w:r>
      <w:r w:rsidR="00377493">
        <w:t xml:space="preserve">se </w:t>
      </w:r>
      <w:r w:rsidR="00F75B9B">
        <w:t>zvětšila o 174</w:t>
      </w:r>
      <w:r w:rsidR="00FB7D0E">
        <w:t xml:space="preserve"> m</w:t>
      </w:r>
      <w:r w:rsidR="00FB7D0E" w:rsidRPr="00FB7D0E">
        <w:rPr>
          <w:vertAlign w:val="superscript"/>
        </w:rPr>
        <w:t>2</w:t>
      </w:r>
      <w:r w:rsidR="004F77CC">
        <w:t xml:space="preserve">. </w:t>
      </w:r>
      <w:r w:rsidR="00ED17AD">
        <w:t>Přístavba</w:t>
      </w:r>
      <w:r w:rsidR="00E33212">
        <w:t xml:space="preserve"> proběhla bez omezení provozu objektu</w:t>
      </w:r>
      <w:r w:rsidR="00D76E3D">
        <w:t>.</w:t>
      </w:r>
      <w:r w:rsidR="00FE77D2">
        <w:t xml:space="preserve"> </w:t>
      </w:r>
      <w:r w:rsidR="009D093F">
        <w:t xml:space="preserve">Jan Petr, </w:t>
      </w:r>
      <w:r w:rsidR="00FE77D2">
        <w:t>marketingový ředitel společnosti Touax</w:t>
      </w:r>
      <w:r w:rsidR="00D76E3D">
        <w:t>, v této souvislosti uvádí</w:t>
      </w:r>
      <w:r w:rsidR="00FE77D2">
        <w:t xml:space="preserve">: </w:t>
      </w:r>
      <w:r w:rsidR="00D5598F" w:rsidRPr="005861CD">
        <w:rPr>
          <w:i/>
        </w:rPr>
        <w:t>„</w:t>
      </w:r>
      <w:r w:rsidR="009D093F" w:rsidRPr="005861CD">
        <w:rPr>
          <w:i/>
        </w:rPr>
        <w:t>Přístavbu</w:t>
      </w:r>
      <w:r w:rsidR="00ED17AD">
        <w:rPr>
          <w:i/>
        </w:rPr>
        <w:t xml:space="preserve"> zkušebny</w:t>
      </w:r>
      <w:r w:rsidR="00D5598F" w:rsidRPr="005861CD">
        <w:rPr>
          <w:i/>
        </w:rPr>
        <w:t xml:space="preserve"> jsme </w:t>
      </w:r>
      <w:r w:rsidR="00CB075D">
        <w:rPr>
          <w:i/>
        </w:rPr>
        <w:t xml:space="preserve">sestavili za 5 hodin a naši část dodávky dokončili </w:t>
      </w:r>
      <w:r w:rsidR="00FB7D0E">
        <w:rPr>
          <w:i/>
        </w:rPr>
        <w:t xml:space="preserve">za </w:t>
      </w:r>
      <w:r w:rsidR="00D5598F" w:rsidRPr="005861CD">
        <w:rPr>
          <w:i/>
        </w:rPr>
        <w:t>pouhých 14 dní.</w:t>
      </w:r>
      <w:r w:rsidR="00A811EA">
        <w:rPr>
          <w:i/>
        </w:rPr>
        <w:t xml:space="preserve"> Na </w:t>
      </w:r>
      <w:r w:rsidR="004C5F1F">
        <w:rPr>
          <w:i/>
        </w:rPr>
        <w:t>kompletní</w:t>
      </w:r>
      <w:r w:rsidR="00A811EA">
        <w:rPr>
          <w:i/>
        </w:rPr>
        <w:t xml:space="preserve"> realizaci potřeboval investor dva</w:t>
      </w:r>
      <w:r w:rsidR="004C5F1F">
        <w:rPr>
          <w:i/>
        </w:rPr>
        <w:t xml:space="preserve"> měsíce. </w:t>
      </w:r>
      <w:r w:rsidR="00CB075D">
        <w:rPr>
          <w:i/>
        </w:rPr>
        <w:t xml:space="preserve">Jde </w:t>
      </w:r>
      <w:r w:rsidR="003E6650">
        <w:rPr>
          <w:i/>
        </w:rPr>
        <w:t xml:space="preserve">o </w:t>
      </w:r>
      <w:r w:rsidR="00CB075D">
        <w:rPr>
          <w:i/>
        </w:rPr>
        <w:t xml:space="preserve">výrobní prostor se specifickými požadavky na prostředí, který si vyžádal atypický standard provedení. </w:t>
      </w:r>
      <w:r w:rsidR="003E6650">
        <w:rPr>
          <w:i/>
        </w:rPr>
        <w:t>Například p</w:t>
      </w:r>
      <w:r w:rsidR="00CB075D">
        <w:rPr>
          <w:i/>
        </w:rPr>
        <w:t>ovrch stropu, stěn a podlah je z ocelových plechů.</w:t>
      </w:r>
      <w:r w:rsidR="003E6650">
        <w:rPr>
          <w:i/>
        </w:rPr>
        <w:t xml:space="preserve"> Museli jsme myslet i na dostatečně dimenzované konstrukce a prostor pro následnou inst</w:t>
      </w:r>
      <w:r w:rsidR="00A811EA">
        <w:rPr>
          <w:i/>
        </w:rPr>
        <w:t>alaci výkonné vzduchotechniky a také na instalační lávky pro kabeláž i</w:t>
      </w:r>
      <w:r w:rsidR="003E6650">
        <w:rPr>
          <w:i/>
        </w:rPr>
        <w:t xml:space="preserve"> další instalace potřebné k provozu zkušebny. </w:t>
      </w:r>
      <w:r w:rsidR="00E33212">
        <w:rPr>
          <w:i/>
        </w:rPr>
        <w:t>Bosch je společnost, která systematicky využívá při svých investicích do nových prostor maximum výhod modulové výstavby najednou</w:t>
      </w:r>
      <w:r w:rsidR="004D63A0">
        <w:rPr>
          <w:i/>
        </w:rPr>
        <w:t xml:space="preserve"> </w:t>
      </w:r>
      <w:r w:rsidR="00A811EA">
        <w:rPr>
          <w:i/>
        </w:rPr>
        <w:t>–</w:t>
      </w:r>
      <w:r w:rsidR="004D63A0">
        <w:rPr>
          <w:i/>
        </w:rPr>
        <w:t xml:space="preserve"> </w:t>
      </w:r>
      <w:r w:rsidR="00A811EA">
        <w:rPr>
          <w:i/>
        </w:rPr>
        <w:t>realizace za </w:t>
      </w:r>
      <w:r w:rsidR="00E33212">
        <w:rPr>
          <w:i/>
        </w:rPr>
        <w:t>plného provo</w:t>
      </w:r>
      <w:r>
        <w:rPr>
          <w:i/>
        </w:rPr>
        <w:t>zu, ve velmi krátkém čase</w:t>
      </w:r>
      <w:r w:rsidR="00E33212">
        <w:rPr>
          <w:i/>
        </w:rPr>
        <w:t>, s nižšími investičními výdaji a s možností řídit budoucí provozní náklady díky flexibilitě objektu</w:t>
      </w:r>
      <w:r>
        <w:rPr>
          <w:i/>
        </w:rPr>
        <w:t>.</w:t>
      </w:r>
      <w:r w:rsidR="003E6650">
        <w:rPr>
          <w:i/>
        </w:rPr>
        <w:t>“</w:t>
      </w:r>
    </w:p>
    <w:p w14:paraId="47DD91E2" w14:textId="77777777" w:rsidR="007D5251" w:rsidRDefault="007D5251" w:rsidP="007D5251">
      <w:pPr>
        <w:spacing w:line="360" w:lineRule="auto"/>
        <w:jc w:val="both"/>
      </w:pPr>
    </w:p>
    <w:p w14:paraId="46FE3D0D" w14:textId="67FEBE8C" w:rsidR="000A4786" w:rsidRPr="00BF6058" w:rsidRDefault="0094427F" w:rsidP="00BF6058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4F6F536" wp14:editId="058B8ABA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2428875" cy="1457325"/>
            <wp:effectExtent l="0" t="0" r="9525" b="9525"/>
            <wp:wrapThrough wrapText="bothSides">
              <wp:wrapPolygon edited="0">
                <wp:start x="0" y="0"/>
                <wp:lineTo x="0" y="21459"/>
                <wp:lineTo x="21515" y="21459"/>
                <wp:lineTo x="21515" y="0"/>
                <wp:lineTo x="0" y="0"/>
              </wp:wrapPolygon>
            </wp:wrapThrough>
            <wp:docPr id="2" name="Obrázek 2" descr="I:\PR-Reality\Touax\Podklady\TZ Prumysl_ moduly pro výrobní firmy a výzkumné účely\2016 Testovaci laborator Plastic Omnium - Lozorno (SK)\Foto\2016 Testovaci laborator Plastic Omnium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Podklady\TZ Prumysl_ moduly pro výrobní firmy a výzkumné účely\2016 Testovaci laborator Plastic Omnium - Lozorno (SK)\Foto\2016 Testovaci laborator Plastic Omnium_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003">
        <w:t>Další spol</w:t>
      </w:r>
      <w:r w:rsidR="007D5251">
        <w:t xml:space="preserve">ečností, která pro rozšíření </w:t>
      </w:r>
      <w:r w:rsidR="00654B58">
        <w:t xml:space="preserve">svého areálu </w:t>
      </w:r>
      <w:r w:rsidR="003B3003">
        <w:t>využila výhod modulových staveb</w:t>
      </w:r>
      <w:r w:rsidR="00DB1F2D">
        <w:t xml:space="preserve"> </w:t>
      </w:r>
      <w:proofErr w:type="spellStart"/>
      <w:r w:rsidR="00DB1F2D">
        <w:t>Touax</w:t>
      </w:r>
      <w:proofErr w:type="spellEnd"/>
      <w:r w:rsidR="002F13C1">
        <w:t>,</w:t>
      </w:r>
      <w:r w:rsidR="007D5251">
        <w:t xml:space="preserve"> je společnost </w:t>
      </w:r>
      <w:proofErr w:type="spellStart"/>
      <w:r w:rsidR="007D5251">
        <w:t>Plastic</w:t>
      </w:r>
      <w:proofErr w:type="spellEnd"/>
      <w:r w:rsidR="007D5251">
        <w:t xml:space="preserve"> Omnium,</w:t>
      </w:r>
      <w:r w:rsidR="003B3003">
        <w:t xml:space="preserve"> </w:t>
      </w:r>
      <w:r w:rsidR="007D5251">
        <w:t>světový</w:t>
      </w:r>
      <w:r w:rsidR="0038181C">
        <w:t xml:space="preserve"> lídr</w:t>
      </w:r>
      <w:r w:rsidR="00DB1F2D">
        <w:t xml:space="preserve"> v oblasti </w:t>
      </w:r>
      <w:r w:rsidR="00654B58">
        <w:t>výroby plastových komponent pro automobilový průmysl</w:t>
      </w:r>
      <w:r w:rsidR="0038181C">
        <w:t xml:space="preserve">. </w:t>
      </w:r>
      <w:r w:rsidR="001D0459">
        <w:t>Přízemní n</w:t>
      </w:r>
      <w:r w:rsidR="007D5251">
        <w:t xml:space="preserve">ovostavbu </w:t>
      </w:r>
      <w:r w:rsidR="00A811EA">
        <w:t>o </w:t>
      </w:r>
      <w:r w:rsidR="00654B58">
        <w:t>ploše přes 100 m</w:t>
      </w:r>
      <w:r w:rsidR="00654B58" w:rsidRPr="00FB7D0E">
        <w:rPr>
          <w:vertAlign w:val="superscript"/>
        </w:rPr>
        <w:t>2</w:t>
      </w:r>
      <w:r w:rsidR="00A811EA">
        <w:t>,</w:t>
      </w:r>
      <w:r w:rsidR="00654B58">
        <w:t xml:space="preserve"> </w:t>
      </w:r>
      <w:r w:rsidR="007D5251">
        <w:t>složenou z 6 modulů v areálu svého stávajícího technického centra</w:t>
      </w:r>
      <w:r w:rsidR="0038181C">
        <w:t xml:space="preserve"> v </w:t>
      </w:r>
      <w:proofErr w:type="spellStart"/>
      <w:r w:rsidR="0038181C">
        <w:t>Lozornu</w:t>
      </w:r>
      <w:proofErr w:type="spellEnd"/>
      <w:r w:rsidR="0038181C">
        <w:t xml:space="preserve"> na Slovensku</w:t>
      </w:r>
      <w:r w:rsidR="00A811EA">
        <w:t>,</w:t>
      </w:r>
      <w:r w:rsidR="00DB1F2D">
        <w:t xml:space="preserve"> bude</w:t>
      </w:r>
      <w:r w:rsidR="004D63A0">
        <w:t xml:space="preserve"> společnost</w:t>
      </w:r>
      <w:r w:rsidR="00DB1F2D">
        <w:t xml:space="preserve"> </w:t>
      </w:r>
      <w:r w:rsidR="00A811EA">
        <w:t>využívat k </w:t>
      </w:r>
      <w:r w:rsidR="002133F0">
        <w:t>testování</w:t>
      </w:r>
      <w:r w:rsidR="00DB1F2D">
        <w:t xml:space="preserve"> svých výrobků. </w:t>
      </w:r>
      <w:r w:rsidR="00654B58">
        <w:t>Podobně jako z</w:t>
      </w:r>
      <w:r w:rsidR="00A811EA">
        <w:t>kušebna Bosch i tento objekt si </w:t>
      </w:r>
      <w:r w:rsidR="00654B58">
        <w:t>s</w:t>
      </w:r>
      <w:r w:rsidR="00FB7D0E">
        <w:t xml:space="preserve"> ohledem na </w:t>
      </w:r>
      <w:r w:rsidR="00654B58">
        <w:t xml:space="preserve">své specifické využití vyžádal neobvyklé </w:t>
      </w:r>
      <w:r w:rsidR="004C5F1F">
        <w:t>provedení povrchů. Například podlaha je betonová se speciální epoxidovou stěrkou. Společnost Touax dodávala objekt i s doplňkovou dvoubarevnou plechovou horizontální lamelovou fasádou, kterou sama vyvinula a vyrábí</w:t>
      </w:r>
      <w:r w:rsidR="002133F0">
        <w:t xml:space="preserve">. </w:t>
      </w:r>
      <w:r w:rsidR="004C5F1F">
        <w:t>I v tom</w:t>
      </w:r>
      <w:r w:rsidR="00A811EA">
        <w:t>to případě potřeboval investor dva</w:t>
      </w:r>
      <w:r w:rsidR="004C5F1F">
        <w:t xml:space="preserve"> měsíce na k</w:t>
      </w:r>
      <w:r w:rsidR="00FB7D0E">
        <w:t>ompletní realizac</w:t>
      </w:r>
      <w:r w:rsidR="004C5F1F">
        <w:t>i</w:t>
      </w:r>
      <w:r w:rsidR="00FB7D0E">
        <w:t xml:space="preserve"> včetně všech s</w:t>
      </w:r>
      <w:r w:rsidR="00BF6058">
        <w:t>ouvisejících prací</w:t>
      </w:r>
      <w:r w:rsidR="00FB7D0E">
        <w:t xml:space="preserve"> </w:t>
      </w:r>
      <w:r w:rsidR="00BF6058">
        <w:t>(</w:t>
      </w:r>
      <w:r w:rsidR="00FB7D0E">
        <w:t>např.</w:t>
      </w:r>
      <w:r w:rsidR="00BF6058">
        <w:t xml:space="preserve"> přeložky sítí, úpravy terénu, závlahy aj.). </w:t>
      </w:r>
      <w:r w:rsidR="00A43A26" w:rsidRPr="005861CD">
        <w:rPr>
          <w:i/>
        </w:rPr>
        <w:t>„</w:t>
      </w:r>
      <w:r w:rsidR="003B3003" w:rsidRPr="005861CD">
        <w:rPr>
          <w:i/>
        </w:rPr>
        <w:t>Obě</w:t>
      </w:r>
      <w:r w:rsidR="00C85C83">
        <w:rPr>
          <w:i/>
        </w:rPr>
        <w:t xml:space="preserve"> společnosti s moduly pracují systematicky, a to nejen ve svých závodech v ČR a SR. Na investic</w:t>
      </w:r>
      <w:r w:rsidR="002133F0">
        <w:rPr>
          <w:i/>
        </w:rPr>
        <w:t>e do chybějících prostor se dívají</w:t>
      </w:r>
      <w:r w:rsidR="00C85C83">
        <w:rPr>
          <w:i/>
        </w:rPr>
        <w:t xml:space="preserve"> i v dlouhodobější perspektivě. Počítají s ekonomickými cykly a tedy i budoucí variantou, kdy budovy nemusejí být ze 100 % využity</w:t>
      </w:r>
      <w:r w:rsidR="00EF1C49">
        <w:rPr>
          <w:i/>
        </w:rPr>
        <w:t>. V</w:t>
      </w:r>
      <w:r w:rsidR="00377493">
        <w:rPr>
          <w:i/>
        </w:rPr>
        <w:t> tu dobu</w:t>
      </w:r>
      <w:r w:rsidR="00C85C83">
        <w:rPr>
          <w:i/>
        </w:rPr>
        <w:t xml:space="preserve"> bude výhodné</w:t>
      </w:r>
      <w:r w:rsidR="00EF1C49">
        <w:rPr>
          <w:i/>
        </w:rPr>
        <w:t xml:space="preserve">, </w:t>
      </w:r>
      <w:r w:rsidR="00377493">
        <w:rPr>
          <w:i/>
        </w:rPr>
        <w:t>když</w:t>
      </w:r>
      <w:r w:rsidR="00EF1C49">
        <w:rPr>
          <w:i/>
        </w:rPr>
        <w:t xml:space="preserve"> </w:t>
      </w:r>
      <w:r w:rsidR="00377493">
        <w:rPr>
          <w:i/>
        </w:rPr>
        <w:t>budou moci</w:t>
      </w:r>
      <w:r w:rsidR="00EF1C49">
        <w:rPr>
          <w:i/>
        </w:rPr>
        <w:t xml:space="preserve"> změnit</w:t>
      </w:r>
      <w:r w:rsidR="00C85C83">
        <w:rPr>
          <w:i/>
        </w:rPr>
        <w:t xml:space="preserve"> co nejlevněji jejich velikost, funkci, umístění v</w:t>
      </w:r>
      <w:r w:rsidR="003D499A">
        <w:rPr>
          <w:i/>
        </w:rPr>
        <w:t> </w:t>
      </w:r>
      <w:r w:rsidR="00C85C83">
        <w:rPr>
          <w:i/>
        </w:rPr>
        <w:t>areálu</w:t>
      </w:r>
      <w:r w:rsidR="003D499A">
        <w:rPr>
          <w:i/>
        </w:rPr>
        <w:t>,</w:t>
      </w:r>
      <w:r w:rsidR="00C85C83">
        <w:rPr>
          <w:i/>
        </w:rPr>
        <w:t xml:space="preserve"> </w:t>
      </w:r>
      <w:r w:rsidR="00EF1C49">
        <w:rPr>
          <w:i/>
        </w:rPr>
        <w:t>nebo se jich dokonce</w:t>
      </w:r>
      <w:r w:rsidR="00377493">
        <w:rPr>
          <w:i/>
        </w:rPr>
        <w:t xml:space="preserve"> vzdát</w:t>
      </w:r>
      <w:r w:rsidR="003D499A">
        <w:rPr>
          <w:i/>
        </w:rPr>
        <w:t>. To s budovami postavenými běžnými te</w:t>
      </w:r>
      <w:r w:rsidR="002133F0">
        <w:rPr>
          <w:i/>
        </w:rPr>
        <w:t>chnologiemi není tak jednoduché</w:t>
      </w:r>
      <w:r w:rsidR="005861CD">
        <w:rPr>
          <w:i/>
        </w:rPr>
        <w:t>,</w:t>
      </w:r>
      <w:r w:rsidR="00A43A26" w:rsidRPr="005861CD">
        <w:rPr>
          <w:i/>
        </w:rPr>
        <w:t xml:space="preserve">“ </w:t>
      </w:r>
      <w:r w:rsidR="00BF6058">
        <w:t>dodává</w:t>
      </w:r>
      <w:r w:rsidR="00A43A26">
        <w:t xml:space="preserve"> Jan Petr. </w:t>
      </w:r>
      <w:r w:rsidR="000A4786">
        <w:t xml:space="preserve"> </w:t>
      </w:r>
    </w:p>
    <w:p w14:paraId="5F0BC10F" w14:textId="23733189" w:rsidR="00BF6058" w:rsidRDefault="00BF6058" w:rsidP="007E2421">
      <w:pPr>
        <w:spacing w:after="200" w:line="360" w:lineRule="auto"/>
        <w:jc w:val="both"/>
      </w:pPr>
    </w:p>
    <w:p w14:paraId="0D213563" w14:textId="78B1257F" w:rsidR="00711525" w:rsidRDefault="00EF1C49" w:rsidP="00BF6058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2336" behindDoc="0" locked="1" layoutInCell="1" allowOverlap="1" wp14:anchorId="3F59D663" wp14:editId="0EC8972B">
            <wp:simplePos x="0" y="0"/>
            <wp:positionH relativeFrom="margin">
              <wp:posOffset>2697480</wp:posOffset>
            </wp:positionH>
            <wp:positionV relativeFrom="margin">
              <wp:posOffset>4418965</wp:posOffset>
            </wp:positionV>
            <wp:extent cx="1936800" cy="1450800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uax Supikovice - jidelna 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00" cy="145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427F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7966CC3" wp14:editId="60086907">
            <wp:simplePos x="0" y="0"/>
            <wp:positionH relativeFrom="margin">
              <wp:align>left</wp:align>
            </wp:positionH>
            <wp:positionV relativeFrom="paragraph">
              <wp:posOffset>789940</wp:posOffset>
            </wp:positionV>
            <wp:extent cx="2562225" cy="1440815"/>
            <wp:effectExtent l="0" t="0" r="9525" b="6985"/>
            <wp:wrapSquare wrapText="bothSides"/>
            <wp:docPr id="4" name="Obrázek 4" descr="I:\PR-Reality\Touax\Podklady\TZ Prumysl_ moduly pro výrobní firmy a výzkumné účely\Touax Supikovice - kancelare, satny, jidelna\Touax Supikovice - satny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Reality\Touax\Podklady\TZ Prumysl_ moduly pro výrobní firmy a výzkumné účely\Touax Supikovice - kancelare, satny, jidelna\Touax Supikovice - satny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99A">
        <w:t xml:space="preserve">Ani Touax </w:t>
      </w:r>
      <w:r w:rsidR="002133F0">
        <w:t>není výjimkou a využívá vlastní</w:t>
      </w:r>
      <w:r w:rsidR="003D499A">
        <w:t xml:space="preserve"> výrobky k rozšiřování kapacity objektů ve svém</w:t>
      </w:r>
      <w:r w:rsidR="00B72B6B">
        <w:t xml:space="preserve"> </w:t>
      </w:r>
      <w:r w:rsidR="00BF6058" w:rsidRPr="007D4FE2">
        <w:t>výrobní</w:t>
      </w:r>
      <w:r w:rsidR="003D499A">
        <w:t>m</w:t>
      </w:r>
      <w:r w:rsidR="00BF6058" w:rsidRPr="007D4FE2">
        <w:t xml:space="preserve"> závo</w:t>
      </w:r>
      <w:r>
        <w:t>dě</w:t>
      </w:r>
      <w:r w:rsidR="007D4FE2">
        <w:t xml:space="preserve"> v Supíkovicích. </w:t>
      </w:r>
      <w:r w:rsidR="00711525">
        <w:t xml:space="preserve">Nárůst výroby v souvislosti s vysokou poptávkou po modulových stavbách a s tím </w:t>
      </w:r>
      <w:r w:rsidR="00377493">
        <w:t>spojený nárůst</w:t>
      </w:r>
      <w:r w:rsidR="00711525">
        <w:t xml:space="preserve"> počtu zaměstnanců</w:t>
      </w:r>
      <w:r w:rsidR="00A811EA">
        <w:t xml:space="preserve"> </w:t>
      </w:r>
      <w:proofErr w:type="spellStart"/>
      <w:r w:rsidR="00A811EA">
        <w:t>Touaxu</w:t>
      </w:r>
      <w:proofErr w:type="spellEnd"/>
      <w:r w:rsidR="00711525">
        <w:t xml:space="preserve"> </w:t>
      </w:r>
      <w:r w:rsidR="003D499A">
        <w:t xml:space="preserve">se promítly v realizaci nástavby 3. patra hlavní </w:t>
      </w:r>
      <w:r w:rsidR="002133F0">
        <w:t>kancelářské budovy, přístavby</w:t>
      </w:r>
      <w:r w:rsidR="00711525">
        <w:t xml:space="preserve"> jídeln</w:t>
      </w:r>
      <w:r w:rsidR="003D499A">
        <w:t>y</w:t>
      </w:r>
      <w:r w:rsidR="00711525">
        <w:t xml:space="preserve"> a </w:t>
      </w:r>
      <w:r w:rsidR="002133F0">
        <w:t>nových šaten</w:t>
      </w:r>
      <w:r w:rsidR="00711525">
        <w:t>.</w:t>
      </w:r>
    </w:p>
    <w:p w14:paraId="22FBC2AA" w14:textId="595D76C0" w:rsidR="00711525" w:rsidRDefault="00EF1C49" w:rsidP="00B72B6B">
      <w:pPr>
        <w:spacing w:line="360" w:lineRule="auto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1312" behindDoc="0" locked="1" layoutInCell="1" allowOverlap="1" wp14:anchorId="44EEBFB1" wp14:editId="405C01BF">
            <wp:simplePos x="0" y="0"/>
            <wp:positionH relativeFrom="margin">
              <wp:posOffset>4773930</wp:posOffset>
            </wp:positionH>
            <wp:positionV relativeFrom="margin">
              <wp:posOffset>4427855</wp:posOffset>
            </wp:positionV>
            <wp:extent cx="1951200" cy="1465200"/>
            <wp:effectExtent l="0" t="0" r="0" b="190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uax Supikovice - kancelare 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00" cy="14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C76FEB" w14:textId="39A0D6C7" w:rsidR="00B72B6B" w:rsidRPr="00711525" w:rsidRDefault="00711525" w:rsidP="00B72B6B">
      <w:pPr>
        <w:spacing w:line="360" w:lineRule="auto"/>
        <w:jc w:val="both"/>
      </w:pPr>
      <w:r>
        <w:rPr>
          <w:i/>
        </w:rPr>
        <w:t>K</w:t>
      </w:r>
      <w:r w:rsidR="00B72B6B">
        <w:rPr>
          <w:i/>
        </w:rPr>
        <w:t>anceláře, jídelna a šatny z modulů Touax v jeho výrobním závodě v Supíkovicích na Jesenicku.</w:t>
      </w:r>
    </w:p>
    <w:p w14:paraId="48061401" w14:textId="715AE888" w:rsidR="007D4FE2" w:rsidRDefault="007D4FE2" w:rsidP="00B72B6B">
      <w:pPr>
        <w:spacing w:line="360" w:lineRule="auto"/>
        <w:jc w:val="both"/>
      </w:pPr>
    </w:p>
    <w:p w14:paraId="7A29C4BE" w14:textId="0F17F6F3" w:rsidR="00BF6058" w:rsidRDefault="00BF6058" w:rsidP="007E2421">
      <w:pPr>
        <w:spacing w:after="200" w:line="360" w:lineRule="auto"/>
        <w:jc w:val="both"/>
      </w:pPr>
    </w:p>
    <w:p w14:paraId="33FB4EC6" w14:textId="047A5FA6" w:rsidR="002E6818" w:rsidRPr="006567F5" w:rsidRDefault="00A43A26" w:rsidP="007E2421">
      <w:pPr>
        <w:spacing w:after="200" w:line="360" w:lineRule="auto"/>
        <w:jc w:val="both"/>
      </w:pPr>
      <w:r>
        <w:t xml:space="preserve"> </w:t>
      </w:r>
    </w:p>
    <w:p w14:paraId="61981661" w14:textId="1F99CB38" w:rsidR="0085317B" w:rsidRPr="00763369" w:rsidRDefault="0085317B" w:rsidP="0085317B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229F699F" w14:textId="5BE8186F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58A3BF31" w14:textId="77777777" w:rsidR="0085317B" w:rsidRDefault="0085317B" w:rsidP="0085317B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1CEAB11D" w14:textId="77777777" w:rsidR="0085317B" w:rsidRPr="0003266D" w:rsidRDefault="0085317B" w:rsidP="0085317B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lastRenderedPageBreak/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7299781A" w14:textId="77777777" w:rsidR="0085317B" w:rsidRPr="005315B1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 xml:space="preserve">kótovaná na pařížské burze NYSE EURONEXT – </w:t>
      </w:r>
      <w:proofErr w:type="spellStart"/>
      <w:r w:rsidRPr="005315B1">
        <w:rPr>
          <w:iCs/>
          <w:sz w:val="18"/>
          <w:szCs w:val="18"/>
        </w:rPr>
        <w:t>Euronext</w:t>
      </w:r>
      <w:proofErr w:type="spellEnd"/>
      <w:r w:rsidRPr="005315B1">
        <w:rPr>
          <w:iCs/>
          <w:sz w:val="18"/>
          <w:szCs w:val="18"/>
        </w:rPr>
        <w:t xml:space="preserve"> Paris </w:t>
      </w:r>
      <w:proofErr w:type="spellStart"/>
      <w:r w:rsidRPr="005315B1">
        <w:rPr>
          <w:iCs/>
          <w:sz w:val="18"/>
          <w:szCs w:val="18"/>
        </w:rPr>
        <w:t>Compartment</w:t>
      </w:r>
      <w:proofErr w:type="spellEnd"/>
      <w:r w:rsidRPr="005315B1">
        <w:rPr>
          <w:iCs/>
          <w:sz w:val="18"/>
          <w:szCs w:val="18"/>
        </w:rPr>
        <w:t xml:space="preserve"> C (kód ISIN FR0000033003) a je součástí indexů CAC®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CAC® </w:t>
      </w:r>
      <w:proofErr w:type="spellStart"/>
      <w:r w:rsidRPr="005315B1">
        <w:rPr>
          <w:iCs/>
          <w:sz w:val="18"/>
          <w:szCs w:val="18"/>
        </w:rPr>
        <w:t>Mid</w:t>
      </w:r>
      <w:proofErr w:type="spellEnd"/>
      <w:r w:rsidRPr="005315B1">
        <w:rPr>
          <w:iCs/>
          <w:sz w:val="18"/>
          <w:szCs w:val="18"/>
        </w:rPr>
        <w:t xml:space="preserve"> &amp; </w:t>
      </w:r>
      <w:proofErr w:type="spellStart"/>
      <w:r w:rsidRPr="005315B1">
        <w:rPr>
          <w:iCs/>
          <w:sz w:val="18"/>
          <w:szCs w:val="18"/>
        </w:rPr>
        <w:t>Small</w:t>
      </w:r>
      <w:proofErr w:type="spellEnd"/>
      <w:r w:rsidRPr="005315B1">
        <w:rPr>
          <w:iCs/>
          <w:sz w:val="18"/>
          <w:szCs w:val="18"/>
        </w:rPr>
        <w:t xml:space="preserve"> a SRD Long-</w:t>
      </w:r>
      <w:proofErr w:type="spellStart"/>
      <w:r w:rsidRPr="005315B1">
        <w:rPr>
          <w:iCs/>
          <w:sz w:val="18"/>
          <w:szCs w:val="18"/>
        </w:rPr>
        <w:t>only</w:t>
      </w:r>
      <w:proofErr w:type="spellEnd"/>
      <w:r w:rsidRPr="005315B1">
        <w:rPr>
          <w:iCs/>
          <w:sz w:val="18"/>
          <w:szCs w:val="18"/>
        </w:rPr>
        <w:t>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7939BB2B" w14:textId="68B094C4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E0531">
        <w:rPr>
          <w:sz w:val="18"/>
          <w:szCs w:val="18"/>
        </w:rPr>
        <w:t>Veronika Boráková</w:t>
      </w:r>
    </w:p>
    <w:p w14:paraId="36CE5729" w14:textId="6632D713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0D2761">
        <w:rPr>
          <w:sz w:val="18"/>
          <w:szCs w:val="18"/>
        </w:rPr>
        <w:t> 773 501 477</w:t>
      </w:r>
    </w:p>
    <w:p w14:paraId="24F28129" w14:textId="351CD9B1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13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14" w:history="1">
        <w:r w:rsidR="005E0531" w:rsidRPr="009D093F">
          <w:rPr>
            <w:rStyle w:val="Hypertextovodkaz"/>
          </w:rPr>
          <w:t>ver</w:t>
        </w:r>
        <w:r w:rsidR="005E0531" w:rsidRPr="009D093F">
          <w:rPr>
            <w:rStyle w:val="Hypertextovodkaz"/>
            <w:sz w:val="18"/>
            <w:szCs w:val="18"/>
          </w:rPr>
          <w:t>onika.borakova@crestcom.cz</w:t>
        </w:r>
      </w:hyperlink>
    </w:p>
    <w:p w14:paraId="0651BD64" w14:textId="77777777" w:rsidR="005223A3" w:rsidRPr="001B7CBE" w:rsidRDefault="005223A3" w:rsidP="00F03D42"/>
    <w:sectPr w:rsidR="005223A3" w:rsidRPr="001B7CBE" w:rsidSect="000D67AA">
      <w:headerReference w:type="default" r:id="rId15"/>
      <w:footerReference w:type="default" r:id="rId16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C95F" w14:textId="77777777" w:rsidR="00B05F51" w:rsidRDefault="00B05F51" w:rsidP="00EE3EA8">
      <w:r>
        <w:separator/>
      </w:r>
    </w:p>
  </w:endnote>
  <w:endnote w:type="continuationSeparator" w:id="0">
    <w:p w14:paraId="7A78F7F3" w14:textId="77777777" w:rsidR="00B05F51" w:rsidRDefault="00B05F51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="00B05F51" w:rsidRPr="000D67AA">
      <w:rPr>
        <w:b/>
        <w:color w:val="002065"/>
        <w:sz w:val="16"/>
        <w:szCs w:val="16"/>
      </w:rPr>
      <w:t>Touax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2B806819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T: +420 234</w:t>
    </w:r>
    <w:r w:rsidR="009B6E47">
      <w:rPr>
        <w:color w:val="002065"/>
        <w:sz w:val="16"/>
        <w:szCs w:val="16"/>
      </w:rPr>
      <w:t xml:space="preserve"> 712 211</w:t>
    </w:r>
    <w:r w:rsidRPr="000D67AA">
      <w:rPr>
        <w:color w:val="002065"/>
        <w:sz w:val="16"/>
        <w:szCs w:val="16"/>
      </w:rPr>
      <w:t xml:space="preserve">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0D67AA">
        <w:rPr>
          <w:rStyle w:val="Hypertextovodkaz"/>
          <w:sz w:val="16"/>
          <w:szCs w:val="16"/>
          <w:lang w:val="en-GB"/>
        </w:rPr>
        <w:t>@touax.cz</w:t>
      </w:r>
    </w:hyperlink>
    <w:r w:rsidRPr="000D67AA">
      <w:rPr>
        <w:color w:val="002065"/>
        <w:sz w:val="16"/>
        <w:szCs w:val="16"/>
        <w:lang w:val="en-GB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 xml:space="preserve">- </w:t>
    </w:r>
    <w:proofErr w:type="spellStart"/>
    <w:r>
      <w:rPr>
        <w:color w:val="002065"/>
        <w:sz w:val="14"/>
        <w:szCs w:val="14"/>
      </w:rPr>
      <w:t>Reg</w:t>
    </w:r>
    <w:proofErr w:type="spellEnd"/>
    <w:r>
      <w:rPr>
        <w:color w:val="002065"/>
        <w:sz w:val="14"/>
        <w:szCs w:val="14"/>
      </w:rPr>
      <w:t xml:space="preserve">. MS Praha - Obch. </w:t>
    </w:r>
    <w:proofErr w:type="gramStart"/>
    <w:r>
      <w:rPr>
        <w:color w:val="002065"/>
        <w:sz w:val="14"/>
        <w:szCs w:val="14"/>
      </w:rPr>
      <w:t>rejstřík</w:t>
    </w:r>
    <w:proofErr w:type="gramEnd"/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1098A" w14:textId="77777777" w:rsidR="00B05F51" w:rsidRDefault="00B05F51" w:rsidP="00EE3EA8">
      <w:r>
        <w:separator/>
      </w:r>
    </w:p>
  </w:footnote>
  <w:footnote w:type="continuationSeparator" w:id="0">
    <w:p w14:paraId="7F2E0F74" w14:textId="77777777" w:rsidR="00B05F51" w:rsidRDefault="00B05F51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7EDE"/>
    <w:rsid w:val="000142E3"/>
    <w:rsid w:val="000239AC"/>
    <w:rsid w:val="00034162"/>
    <w:rsid w:val="00052500"/>
    <w:rsid w:val="00060D33"/>
    <w:rsid w:val="00061C60"/>
    <w:rsid w:val="00071741"/>
    <w:rsid w:val="000727B6"/>
    <w:rsid w:val="000779D3"/>
    <w:rsid w:val="0009435A"/>
    <w:rsid w:val="000946C4"/>
    <w:rsid w:val="000A4786"/>
    <w:rsid w:val="000A67AD"/>
    <w:rsid w:val="000B27BC"/>
    <w:rsid w:val="000D2761"/>
    <w:rsid w:val="000D382A"/>
    <w:rsid w:val="000D67AA"/>
    <w:rsid w:val="000F6B7F"/>
    <w:rsid w:val="00100230"/>
    <w:rsid w:val="001066D2"/>
    <w:rsid w:val="00110DF7"/>
    <w:rsid w:val="0011359C"/>
    <w:rsid w:val="00126CC8"/>
    <w:rsid w:val="00133608"/>
    <w:rsid w:val="001443CD"/>
    <w:rsid w:val="001446DA"/>
    <w:rsid w:val="00145188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87C77"/>
    <w:rsid w:val="00191FF7"/>
    <w:rsid w:val="00194CC5"/>
    <w:rsid w:val="00196585"/>
    <w:rsid w:val="001A71C1"/>
    <w:rsid w:val="001B0DEA"/>
    <w:rsid w:val="001B7CBE"/>
    <w:rsid w:val="001C0E8B"/>
    <w:rsid w:val="001C183E"/>
    <w:rsid w:val="001C332D"/>
    <w:rsid w:val="001C3B7C"/>
    <w:rsid w:val="001C3D1B"/>
    <w:rsid w:val="001D0459"/>
    <w:rsid w:val="001D6C21"/>
    <w:rsid w:val="001F1689"/>
    <w:rsid w:val="00201FA7"/>
    <w:rsid w:val="0020756D"/>
    <w:rsid w:val="002128CA"/>
    <w:rsid w:val="002133F0"/>
    <w:rsid w:val="00222044"/>
    <w:rsid w:val="0022695D"/>
    <w:rsid w:val="0022758D"/>
    <w:rsid w:val="00232893"/>
    <w:rsid w:val="002424A0"/>
    <w:rsid w:val="00256197"/>
    <w:rsid w:val="00265DCD"/>
    <w:rsid w:val="0027140C"/>
    <w:rsid w:val="00290F16"/>
    <w:rsid w:val="002951D4"/>
    <w:rsid w:val="002A1C7D"/>
    <w:rsid w:val="002A2084"/>
    <w:rsid w:val="002A37EC"/>
    <w:rsid w:val="002A763D"/>
    <w:rsid w:val="002B2520"/>
    <w:rsid w:val="002C346E"/>
    <w:rsid w:val="002E2158"/>
    <w:rsid w:val="002E4900"/>
    <w:rsid w:val="002E6818"/>
    <w:rsid w:val="002E7FE3"/>
    <w:rsid w:val="002F054C"/>
    <w:rsid w:val="002F102F"/>
    <w:rsid w:val="002F13C1"/>
    <w:rsid w:val="002F1919"/>
    <w:rsid w:val="003103B6"/>
    <w:rsid w:val="003116F0"/>
    <w:rsid w:val="00314316"/>
    <w:rsid w:val="003270B4"/>
    <w:rsid w:val="0033350C"/>
    <w:rsid w:val="00342DAA"/>
    <w:rsid w:val="00350735"/>
    <w:rsid w:val="00356091"/>
    <w:rsid w:val="0036195C"/>
    <w:rsid w:val="00362743"/>
    <w:rsid w:val="003634F2"/>
    <w:rsid w:val="003714FA"/>
    <w:rsid w:val="003729B8"/>
    <w:rsid w:val="003757D9"/>
    <w:rsid w:val="00377493"/>
    <w:rsid w:val="0038181C"/>
    <w:rsid w:val="00382F5A"/>
    <w:rsid w:val="00384178"/>
    <w:rsid w:val="003879D0"/>
    <w:rsid w:val="003B3003"/>
    <w:rsid w:val="003D2757"/>
    <w:rsid w:val="003D499A"/>
    <w:rsid w:val="003D7935"/>
    <w:rsid w:val="003E6650"/>
    <w:rsid w:val="00421FB6"/>
    <w:rsid w:val="00427533"/>
    <w:rsid w:val="00432C1A"/>
    <w:rsid w:val="00433F74"/>
    <w:rsid w:val="004371A2"/>
    <w:rsid w:val="004404BD"/>
    <w:rsid w:val="0044393A"/>
    <w:rsid w:val="004536BB"/>
    <w:rsid w:val="00457BDD"/>
    <w:rsid w:val="0047261D"/>
    <w:rsid w:val="00473C1B"/>
    <w:rsid w:val="00487423"/>
    <w:rsid w:val="004926BB"/>
    <w:rsid w:val="00493C20"/>
    <w:rsid w:val="0049408E"/>
    <w:rsid w:val="00494DBB"/>
    <w:rsid w:val="00497816"/>
    <w:rsid w:val="004A4CB3"/>
    <w:rsid w:val="004B3705"/>
    <w:rsid w:val="004C5F1F"/>
    <w:rsid w:val="004D63A0"/>
    <w:rsid w:val="004E4A9D"/>
    <w:rsid w:val="004E5617"/>
    <w:rsid w:val="004F77CC"/>
    <w:rsid w:val="00501A14"/>
    <w:rsid w:val="005042CE"/>
    <w:rsid w:val="00515C65"/>
    <w:rsid w:val="00516942"/>
    <w:rsid w:val="00517065"/>
    <w:rsid w:val="005223A3"/>
    <w:rsid w:val="00522590"/>
    <w:rsid w:val="00522EC2"/>
    <w:rsid w:val="00534222"/>
    <w:rsid w:val="005376C4"/>
    <w:rsid w:val="00537D3C"/>
    <w:rsid w:val="005515F6"/>
    <w:rsid w:val="0057044A"/>
    <w:rsid w:val="00572707"/>
    <w:rsid w:val="0057607B"/>
    <w:rsid w:val="005861CD"/>
    <w:rsid w:val="005B0FE8"/>
    <w:rsid w:val="005B1358"/>
    <w:rsid w:val="005B3F0A"/>
    <w:rsid w:val="005B77E1"/>
    <w:rsid w:val="005D19AB"/>
    <w:rsid w:val="005E0531"/>
    <w:rsid w:val="005E1207"/>
    <w:rsid w:val="005F4497"/>
    <w:rsid w:val="0060780B"/>
    <w:rsid w:val="00607B29"/>
    <w:rsid w:val="00610E17"/>
    <w:rsid w:val="0061718B"/>
    <w:rsid w:val="00654B58"/>
    <w:rsid w:val="006567F5"/>
    <w:rsid w:val="006660BF"/>
    <w:rsid w:val="00675A2D"/>
    <w:rsid w:val="00677BA6"/>
    <w:rsid w:val="00677D45"/>
    <w:rsid w:val="0068718D"/>
    <w:rsid w:val="006A1758"/>
    <w:rsid w:val="006A3E82"/>
    <w:rsid w:val="006A51B6"/>
    <w:rsid w:val="006B1652"/>
    <w:rsid w:val="006B35C4"/>
    <w:rsid w:val="006B7EC3"/>
    <w:rsid w:val="006C1FE2"/>
    <w:rsid w:val="006C3A87"/>
    <w:rsid w:val="006C7428"/>
    <w:rsid w:val="006D406A"/>
    <w:rsid w:val="006D50DE"/>
    <w:rsid w:val="006E31B9"/>
    <w:rsid w:val="006F33D5"/>
    <w:rsid w:val="006F43E7"/>
    <w:rsid w:val="00711525"/>
    <w:rsid w:val="00711CB9"/>
    <w:rsid w:val="00716639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D4FE2"/>
    <w:rsid w:val="007D5251"/>
    <w:rsid w:val="007E2421"/>
    <w:rsid w:val="007E4689"/>
    <w:rsid w:val="007F453D"/>
    <w:rsid w:val="007F4AB6"/>
    <w:rsid w:val="00801D07"/>
    <w:rsid w:val="00805713"/>
    <w:rsid w:val="00821FC3"/>
    <w:rsid w:val="00822100"/>
    <w:rsid w:val="0082230A"/>
    <w:rsid w:val="00842FDC"/>
    <w:rsid w:val="0084444C"/>
    <w:rsid w:val="0085317B"/>
    <w:rsid w:val="008577E3"/>
    <w:rsid w:val="00871C0F"/>
    <w:rsid w:val="008723DC"/>
    <w:rsid w:val="00873ECF"/>
    <w:rsid w:val="00883AB4"/>
    <w:rsid w:val="00884CF0"/>
    <w:rsid w:val="008A7250"/>
    <w:rsid w:val="008B02CA"/>
    <w:rsid w:val="008B441E"/>
    <w:rsid w:val="008B508A"/>
    <w:rsid w:val="008B658A"/>
    <w:rsid w:val="008C7F17"/>
    <w:rsid w:val="008D0F78"/>
    <w:rsid w:val="008E02CB"/>
    <w:rsid w:val="008E092C"/>
    <w:rsid w:val="008F0164"/>
    <w:rsid w:val="00912D77"/>
    <w:rsid w:val="0091313F"/>
    <w:rsid w:val="00926D8E"/>
    <w:rsid w:val="00936E41"/>
    <w:rsid w:val="00940965"/>
    <w:rsid w:val="00940E7A"/>
    <w:rsid w:val="0094427F"/>
    <w:rsid w:val="009460EB"/>
    <w:rsid w:val="009479C2"/>
    <w:rsid w:val="009529BA"/>
    <w:rsid w:val="00953726"/>
    <w:rsid w:val="00953E31"/>
    <w:rsid w:val="009561B8"/>
    <w:rsid w:val="00974AF3"/>
    <w:rsid w:val="00974F6C"/>
    <w:rsid w:val="00984281"/>
    <w:rsid w:val="00984D1F"/>
    <w:rsid w:val="0099641E"/>
    <w:rsid w:val="00996B59"/>
    <w:rsid w:val="009A3036"/>
    <w:rsid w:val="009A4070"/>
    <w:rsid w:val="009A46AC"/>
    <w:rsid w:val="009B6E47"/>
    <w:rsid w:val="009C1322"/>
    <w:rsid w:val="009C4D11"/>
    <w:rsid w:val="009C7983"/>
    <w:rsid w:val="009D093F"/>
    <w:rsid w:val="009D4B0A"/>
    <w:rsid w:val="009F1D3C"/>
    <w:rsid w:val="009F4DEE"/>
    <w:rsid w:val="009F7880"/>
    <w:rsid w:val="00A1025A"/>
    <w:rsid w:val="00A15911"/>
    <w:rsid w:val="00A20F87"/>
    <w:rsid w:val="00A3583C"/>
    <w:rsid w:val="00A37441"/>
    <w:rsid w:val="00A4284A"/>
    <w:rsid w:val="00A43A26"/>
    <w:rsid w:val="00A67626"/>
    <w:rsid w:val="00A71A67"/>
    <w:rsid w:val="00A811EA"/>
    <w:rsid w:val="00A81411"/>
    <w:rsid w:val="00A86306"/>
    <w:rsid w:val="00A90DE8"/>
    <w:rsid w:val="00A90E73"/>
    <w:rsid w:val="00A934E0"/>
    <w:rsid w:val="00A978DD"/>
    <w:rsid w:val="00AB3CAE"/>
    <w:rsid w:val="00AB3DCE"/>
    <w:rsid w:val="00AC5334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32F4E"/>
    <w:rsid w:val="00B359F1"/>
    <w:rsid w:val="00B42ADB"/>
    <w:rsid w:val="00B44330"/>
    <w:rsid w:val="00B50B36"/>
    <w:rsid w:val="00B51B35"/>
    <w:rsid w:val="00B56FDF"/>
    <w:rsid w:val="00B6796C"/>
    <w:rsid w:val="00B72533"/>
    <w:rsid w:val="00B72B6B"/>
    <w:rsid w:val="00B9115D"/>
    <w:rsid w:val="00BA2418"/>
    <w:rsid w:val="00BB093E"/>
    <w:rsid w:val="00BB72F1"/>
    <w:rsid w:val="00BC40D9"/>
    <w:rsid w:val="00BC4670"/>
    <w:rsid w:val="00BC5F40"/>
    <w:rsid w:val="00BD4BE5"/>
    <w:rsid w:val="00BE712C"/>
    <w:rsid w:val="00BF26D0"/>
    <w:rsid w:val="00BF6058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3D8A"/>
    <w:rsid w:val="00C45F79"/>
    <w:rsid w:val="00C5000E"/>
    <w:rsid w:val="00C53141"/>
    <w:rsid w:val="00C56481"/>
    <w:rsid w:val="00C57658"/>
    <w:rsid w:val="00C612A3"/>
    <w:rsid w:val="00C6571D"/>
    <w:rsid w:val="00C65B40"/>
    <w:rsid w:val="00C66442"/>
    <w:rsid w:val="00C85C83"/>
    <w:rsid w:val="00C9271A"/>
    <w:rsid w:val="00CA1876"/>
    <w:rsid w:val="00CB0541"/>
    <w:rsid w:val="00CB075D"/>
    <w:rsid w:val="00CB0E6C"/>
    <w:rsid w:val="00CB24FD"/>
    <w:rsid w:val="00CD220E"/>
    <w:rsid w:val="00CE0130"/>
    <w:rsid w:val="00D03AE4"/>
    <w:rsid w:val="00D10B18"/>
    <w:rsid w:val="00D11611"/>
    <w:rsid w:val="00D2007D"/>
    <w:rsid w:val="00D32EC0"/>
    <w:rsid w:val="00D34171"/>
    <w:rsid w:val="00D54FC2"/>
    <w:rsid w:val="00D5598F"/>
    <w:rsid w:val="00D75DE2"/>
    <w:rsid w:val="00D76E3D"/>
    <w:rsid w:val="00D808E7"/>
    <w:rsid w:val="00D85FF6"/>
    <w:rsid w:val="00D91920"/>
    <w:rsid w:val="00D95BC6"/>
    <w:rsid w:val="00DA4EAA"/>
    <w:rsid w:val="00DB1F2D"/>
    <w:rsid w:val="00DB647E"/>
    <w:rsid w:val="00DC4C3A"/>
    <w:rsid w:val="00DE4A42"/>
    <w:rsid w:val="00DE5A79"/>
    <w:rsid w:val="00E02CF3"/>
    <w:rsid w:val="00E03EB6"/>
    <w:rsid w:val="00E04634"/>
    <w:rsid w:val="00E07F1D"/>
    <w:rsid w:val="00E11996"/>
    <w:rsid w:val="00E20FF8"/>
    <w:rsid w:val="00E3210E"/>
    <w:rsid w:val="00E33212"/>
    <w:rsid w:val="00E57460"/>
    <w:rsid w:val="00E60189"/>
    <w:rsid w:val="00E91482"/>
    <w:rsid w:val="00E92FD1"/>
    <w:rsid w:val="00E95E28"/>
    <w:rsid w:val="00EA4392"/>
    <w:rsid w:val="00EB412A"/>
    <w:rsid w:val="00ED17AD"/>
    <w:rsid w:val="00ED1DBC"/>
    <w:rsid w:val="00EE3EA8"/>
    <w:rsid w:val="00EE60F2"/>
    <w:rsid w:val="00EE786A"/>
    <w:rsid w:val="00EF0A74"/>
    <w:rsid w:val="00EF0C14"/>
    <w:rsid w:val="00EF1C49"/>
    <w:rsid w:val="00EF4D2F"/>
    <w:rsid w:val="00EF6433"/>
    <w:rsid w:val="00EF6B87"/>
    <w:rsid w:val="00F03D42"/>
    <w:rsid w:val="00F12953"/>
    <w:rsid w:val="00F234E6"/>
    <w:rsid w:val="00F24DFC"/>
    <w:rsid w:val="00F25D08"/>
    <w:rsid w:val="00F50FF6"/>
    <w:rsid w:val="00F533C0"/>
    <w:rsid w:val="00F615C8"/>
    <w:rsid w:val="00F65BC5"/>
    <w:rsid w:val="00F73592"/>
    <w:rsid w:val="00F75B9B"/>
    <w:rsid w:val="00F83075"/>
    <w:rsid w:val="00FA125B"/>
    <w:rsid w:val="00FA1DB7"/>
    <w:rsid w:val="00FB05C8"/>
    <w:rsid w:val="00FB109E"/>
    <w:rsid w:val="00FB7D0E"/>
    <w:rsid w:val="00FD6778"/>
    <w:rsid w:val="00FD6E32"/>
    <w:rsid w:val="00FD71ED"/>
    <w:rsid w:val="00FD7811"/>
    <w:rsid w:val="00FE2318"/>
    <w:rsid w:val="00FE6F6F"/>
    <w:rsid w:val="00FE77D2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9393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  <w:style w:type="paragraph" w:styleId="Revize">
    <w:name w:val="Revision"/>
    <w:hidden/>
    <w:uiPriority w:val="99"/>
    <w:semiHidden/>
    <w:rsid w:val="00FB7D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petr@touax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file:///\\touax.corp\DataPRG\02_Marketing\PR\Press%20releases\2016\5.%20TZ%20Pr&#367;mysl%20-%20Bosh,%20Plastic%20Omnium,%20Touax\veronika.borakova@crestco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D4DD5-962A-471A-AA17-FD4836BA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Zuzana Binarová</cp:lastModifiedBy>
  <cp:revision>3</cp:revision>
  <cp:lastPrinted>2016-06-22T12:10:00Z</cp:lastPrinted>
  <dcterms:created xsi:type="dcterms:W3CDTF">2016-06-22T12:06:00Z</dcterms:created>
  <dcterms:modified xsi:type="dcterms:W3CDTF">2016-06-22T12:22:00Z</dcterms:modified>
</cp:coreProperties>
</file>